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139</w:t>
      </w:r>
    </w:p>
    <w:p>
      <w:r>
        <w:t>Bundesgericht (BGE), 2007-01-01, FR</w:t>
      </w:r>
    </w:p>
    <w:p>
      <w:r>
        <w:rPr>
          <w:b/>
        </w:rPr>
        <w:t xml:space="preserve">Quelle: </w:t>
      </w:r>
      <w:r>
        <w:t>https://mcp.opencaselaw.ch/entscheid/bge_133 IV 139</w:t>
      </w:r>
    </w:p>
    <w:p>
      <w:r>
        <w:t>FR: ATF 133 IV 139</w:t>
      </w:r>
    </w:p>
    <w:p>
      <w:r>
        <w:t>IT: DTF 133 IV 139</w:t>
      </w:r>
    </w:p>
    <w:p>
      <w:pPr>
        <w:pStyle w:val="Heading2"/>
      </w:pPr>
      <w:r>
        <w:t>Regeste</w:t>
      </w:r>
    </w:p>
    <w:p>
      <w:r>
        <w:t>Regeste Beschwerde in Strafsachen gegen einen Zwischenentscheid, nicht wieder gutzumachender Nachteil (Art. 78 ff., Art. 93 Abs. 1 lit. a BGG). Im Verfahren der Beschwerde in Strafsachen entspricht der Begriff des nicht wieder gutzumachenden Nachteils gemäss Art. 93 Abs. 1 lit. a BGG demjenigen des früheren Art. 87 Abs. 2 OG. Es handelt sich daher um einen Nachteil rechtlicher Natur.</w:t>
      </w:r>
    </w:p>
    <w:p>
      <w:pPr>
        <w:pStyle w:val="Heading2"/>
      </w:pPr>
      <w:r>
        <w:t>Erwägungen</w:t>
      </w:r>
    </w:p>
    <w:p>
      <w:r>
        <w:rPr>
          <w:b/>
        </w:rPr>
        <w:t>E. 4</w:t>
      </w:r>
    </w:p>
    <w:p>
      <w:r>
        <w:t>La décision de refus d'octroyer l'effet suspensif au recours pendant devant la Chambre d'accusation est une décision incidente contre laquelle le recours en matière pénale (art. 78 ss de la loi du 17 juin 2005 sur le Tribunal fédéral [LTF; RS 173.110])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 BGE 133 IV 139 S. 141 Dans la procédure de recours en matière pénale - à savoir dans les causes où, auparavant, l'application du droit cantonal de procédure pénale pouvait être contestée par la voie du recours de droit public pour violation de droits constitutionnels des citoyens ( art. 84 al. 1 let. a OJ [RO 3 p. 521]) -, la notion de préjudice irréparable ( art. 93 al. 1 let. a LTF ) correspond à celle de l' art. 87 al. 2 OJ , qui soumettait à la même condition la recevabilité du recours de droit public contre de telles décisions incidentes (cf. Message du Conseil fédéral concernant la révision totale de l'organisation judiciaire fédérale, FF 2001 p. 4131). Selon la jurisprudence relative à l' art. 87 al. 2 OJ , il doit s'agir d'un dommage de nature juridique, qui ne puisse pas être réparé ultérieurement par un jugement final ou une autre décision favorable au recourant (notamment ATF 131 I 57 consid. 1 p. 59; ATF 127 I 92 consid. 1c p. 94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116 Ia 197 consid. 1b p. 199). La jurisprudence précise qu'un dommage de pur fait, tel que la prolongation de la procédure ou un accroissement des frais de celle-ci, n'est pas considéré comme irréparable ( ATF 127 I 92 consid. 1c p. 94; ATF 126 I 97 consid. 1b p. 100). De même, le renvoi en jugement au terme d'une instruction pénale ne cause pas un dommage de nature juridique ( ATF 115 Ia 311 consid. 2c p. 315; 63 I 313 consid. 2 p. 314). En l'espèce, le recourant fait valoir que, nonobstant l'affirmation du Président de la Chambre d'accusation à propos de la pratique en pareille situation, le Procureur général pourrait, en l'absence d'effet suspensif, prononcer contre lui une ordonnance de condamnation ou le renvoyer devant le Tribunal de police. Même en admettant la réalisation de cette hypothèse, le recourant ne serait pas exposé à un préjudice irréparable, dès lors qu'il pourrait encore contester l'ordonnance et requérir à nouveau l'administration des preuves offertes avant qu'un jugement ne soit, le cas échéant, rendu en première instance par un tribunal. Dans le cas particulier, l' art. 93 al. 1 let. a LTF a la même portée que l' art. 87 al. 2 OJ tel qu'il a été interprété par la jurisprudence; le présent recours en matière pénale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